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F68B" w14:textId="7C50C4FC" w:rsidR="00142535" w:rsidRDefault="00142535" w:rsidP="00142535">
      <w:pPr>
        <w:spacing w:after="0" w:line="240" w:lineRule="auto"/>
        <w:rPr>
          <w:rFonts w:ascii="Lato" w:hAnsi="Lato"/>
          <w:sz w:val="24"/>
          <w:szCs w:val="24"/>
        </w:rPr>
      </w:pPr>
      <w:r>
        <w:rPr>
          <w:rFonts w:ascii="Lato" w:hAnsi="Lato"/>
          <w:noProof/>
          <w:sz w:val="24"/>
          <w:szCs w:val="24"/>
        </w:rPr>
        <w:drawing>
          <wp:anchor distT="0" distB="0" distL="114300" distR="114300" simplePos="0" relativeHeight="251658240" behindDoc="0" locked="0" layoutInCell="1" allowOverlap="1" wp14:anchorId="26159E6D" wp14:editId="41A1F1D4">
            <wp:simplePos x="0" y="0"/>
            <wp:positionH relativeFrom="margin">
              <wp:align>right</wp:align>
            </wp:positionH>
            <wp:positionV relativeFrom="paragraph">
              <wp:posOffset>31115</wp:posOffset>
            </wp:positionV>
            <wp:extent cx="1784985" cy="80391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0" t="24696" r="-876" b="29518"/>
                    <a:stretch/>
                  </pic:blipFill>
                  <pic:spPr bwMode="auto">
                    <a:xfrm>
                      <a:off x="0" y="0"/>
                      <a:ext cx="1784985" cy="803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ato" w:hAnsi="Lato"/>
          <w:noProof/>
          <w:sz w:val="24"/>
          <w:szCs w:val="24"/>
        </w:rPr>
        <w:drawing>
          <wp:anchor distT="0" distB="0" distL="114300" distR="114300" simplePos="0" relativeHeight="251660288" behindDoc="0" locked="0" layoutInCell="1" allowOverlap="1" wp14:anchorId="62FE2B59" wp14:editId="1BFDDC86">
            <wp:simplePos x="0" y="0"/>
            <wp:positionH relativeFrom="margin">
              <wp:align>left</wp:align>
            </wp:positionH>
            <wp:positionV relativeFrom="paragraph">
              <wp:posOffset>-1270</wp:posOffset>
            </wp:positionV>
            <wp:extent cx="2448973" cy="468085"/>
            <wp:effectExtent l="0" t="0" r="8890" b="8255"/>
            <wp:wrapNone/>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8973" cy="468085"/>
                    </a:xfrm>
                    <a:prstGeom prst="rect">
                      <a:avLst/>
                    </a:prstGeom>
                  </pic:spPr>
                </pic:pic>
              </a:graphicData>
            </a:graphic>
            <wp14:sizeRelH relativeFrom="margin">
              <wp14:pctWidth>0</wp14:pctWidth>
            </wp14:sizeRelH>
            <wp14:sizeRelV relativeFrom="margin">
              <wp14:pctHeight>0</wp14:pctHeight>
            </wp14:sizeRelV>
          </wp:anchor>
        </w:drawing>
      </w:r>
    </w:p>
    <w:p w14:paraId="458CA102" w14:textId="590F493D" w:rsidR="00142535" w:rsidRDefault="00142535" w:rsidP="00142535">
      <w:pPr>
        <w:spacing w:after="0" w:line="240" w:lineRule="auto"/>
        <w:rPr>
          <w:rFonts w:ascii="Lato" w:hAnsi="Lato"/>
          <w:sz w:val="24"/>
          <w:szCs w:val="24"/>
        </w:rPr>
      </w:pPr>
    </w:p>
    <w:p w14:paraId="6E8A3238" w14:textId="352BE47C" w:rsidR="00142535" w:rsidRDefault="00142535" w:rsidP="00142535">
      <w:pPr>
        <w:spacing w:after="0" w:line="240" w:lineRule="auto"/>
        <w:rPr>
          <w:rFonts w:ascii="Lato" w:hAnsi="Lato"/>
          <w:sz w:val="24"/>
          <w:szCs w:val="24"/>
        </w:rPr>
      </w:pPr>
    </w:p>
    <w:p w14:paraId="2191A3C9" w14:textId="26EBD2DD" w:rsidR="00142535" w:rsidRDefault="00142535" w:rsidP="00142535">
      <w:pPr>
        <w:spacing w:after="0" w:line="240" w:lineRule="auto"/>
        <w:rPr>
          <w:rFonts w:ascii="Lato" w:hAnsi="Lato"/>
          <w:sz w:val="24"/>
          <w:szCs w:val="24"/>
        </w:rPr>
      </w:pPr>
    </w:p>
    <w:p w14:paraId="40052E45" w14:textId="77777777" w:rsidR="00142535" w:rsidRDefault="00142535" w:rsidP="00142535">
      <w:pPr>
        <w:spacing w:after="0" w:line="240" w:lineRule="auto"/>
        <w:rPr>
          <w:rFonts w:ascii="Lato" w:hAnsi="Lato"/>
          <w:sz w:val="24"/>
          <w:szCs w:val="24"/>
        </w:rPr>
      </w:pPr>
    </w:p>
    <w:p w14:paraId="7048AA80" w14:textId="663CFB6D" w:rsidR="00142535" w:rsidRDefault="00142535" w:rsidP="00142535">
      <w:pPr>
        <w:spacing w:after="0" w:line="240" w:lineRule="auto"/>
        <w:rPr>
          <w:rFonts w:ascii="Lato" w:hAnsi="Lato"/>
          <w:sz w:val="24"/>
          <w:szCs w:val="24"/>
        </w:rPr>
      </w:pPr>
      <w:r w:rsidRPr="00512BD6">
        <w:rPr>
          <w:rFonts w:ascii="Lato" w:hAnsi="Lato"/>
          <w:sz w:val="24"/>
          <w:szCs w:val="24"/>
        </w:rPr>
        <w:t xml:space="preserve">Dear </w:t>
      </w:r>
      <w:r w:rsidRPr="00512BD6">
        <w:rPr>
          <w:rFonts w:ascii="Lato" w:hAnsi="Lato"/>
          <w:sz w:val="24"/>
          <w:szCs w:val="24"/>
          <w:highlight w:val="lightGray"/>
        </w:rPr>
        <w:t>------</w:t>
      </w:r>
      <w:r w:rsidRPr="00142535">
        <w:t xml:space="preserve"> </w:t>
      </w:r>
    </w:p>
    <w:p w14:paraId="1ABC33DB" w14:textId="411E08E3" w:rsidR="00142535" w:rsidRDefault="00142535" w:rsidP="00142535">
      <w:pPr>
        <w:spacing w:after="0" w:line="240" w:lineRule="auto"/>
        <w:rPr>
          <w:rFonts w:ascii="Lato" w:hAnsi="Lato"/>
          <w:sz w:val="24"/>
          <w:szCs w:val="24"/>
        </w:rPr>
      </w:pPr>
    </w:p>
    <w:p w14:paraId="3847CC60" w14:textId="6EFAA403" w:rsidR="00142535" w:rsidRDefault="00142535" w:rsidP="00142535">
      <w:pPr>
        <w:spacing w:after="0" w:line="240" w:lineRule="auto"/>
        <w:rPr>
          <w:rFonts w:ascii="Lato" w:hAnsi="Lato"/>
          <w:sz w:val="24"/>
          <w:szCs w:val="24"/>
        </w:rPr>
      </w:pPr>
      <w:r>
        <w:rPr>
          <w:rFonts w:ascii="Lato" w:hAnsi="Lato"/>
          <w:sz w:val="24"/>
          <w:szCs w:val="24"/>
        </w:rPr>
        <w:t xml:space="preserve">I have just registered for the BHD Syndrome International Registry (BIRT) and am inviting you to take part. </w:t>
      </w:r>
    </w:p>
    <w:p w14:paraId="11F386DE" w14:textId="77777777" w:rsidR="00142535" w:rsidRDefault="00142535" w:rsidP="00142535">
      <w:pPr>
        <w:spacing w:after="0" w:line="240" w:lineRule="auto"/>
        <w:rPr>
          <w:rFonts w:ascii="Lato" w:hAnsi="Lato"/>
          <w:sz w:val="24"/>
          <w:szCs w:val="24"/>
        </w:rPr>
      </w:pPr>
    </w:p>
    <w:p w14:paraId="48C60322" w14:textId="6ACA9807" w:rsidR="00142535" w:rsidRPr="00142535" w:rsidRDefault="00142535" w:rsidP="00142535">
      <w:pPr>
        <w:spacing w:after="0" w:line="240" w:lineRule="auto"/>
        <w:rPr>
          <w:rFonts w:ascii="Lato" w:hAnsi="Lato"/>
          <w:sz w:val="24"/>
          <w:szCs w:val="24"/>
        </w:rPr>
      </w:pPr>
      <w:r w:rsidRPr="00142535">
        <w:rPr>
          <w:rFonts w:ascii="Lato" w:hAnsi="Lato"/>
          <w:sz w:val="24"/>
          <w:szCs w:val="24"/>
        </w:rPr>
        <w:t>The BHD Syndrome International Registry (BIRT) is funded and managed by the Myrovlytis Trust</w:t>
      </w:r>
      <w:r w:rsidR="00E1343C">
        <w:rPr>
          <w:rFonts w:ascii="Lato" w:hAnsi="Lato"/>
          <w:sz w:val="24"/>
          <w:szCs w:val="24"/>
        </w:rPr>
        <w:t xml:space="preserve"> and BHD Foundation</w:t>
      </w:r>
      <w:r w:rsidRPr="00142535">
        <w:rPr>
          <w:rFonts w:ascii="Lato" w:hAnsi="Lato"/>
          <w:sz w:val="24"/>
          <w:szCs w:val="24"/>
        </w:rPr>
        <w:t xml:space="preserve">. We envision a future in which we can cure or prevent the symptoms of BHD and believe that a BHD-specific registry will help us achieve that goal. </w:t>
      </w:r>
    </w:p>
    <w:p w14:paraId="6F72FF5F" w14:textId="77777777" w:rsidR="00142535" w:rsidRPr="00142535" w:rsidRDefault="00142535" w:rsidP="00142535">
      <w:pPr>
        <w:spacing w:after="0" w:line="240" w:lineRule="auto"/>
        <w:rPr>
          <w:rFonts w:ascii="Lato" w:hAnsi="Lato"/>
          <w:sz w:val="24"/>
          <w:szCs w:val="24"/>
        </w:rPr>
      </w:pPr>
    </w:p>
    <w:p w14:paraId="40DF1E53" w14:textId="5FEF0FC4" w:rsidR="00142535" w:rsidRDefault="00142535" w:rsidP="00142535">
      <w:pPr>
        <w:spacing w:after="0" w:line="240" w:lineRule="auto"/>
        <w:rPr>
          <w:rFonts w:ascii="Lato" w:hAnsi="Lato"/>
          <w:sz w:val="24"/>
          <w:szCs w:val="24"/>
        </w:rPr>
      </w:pPr>
      <w:r w:rsidRPr="00142535">
        <w:rPr>
          <w:rFonts w:ascii="Lato" w:hAnsi="Lato"/>
          <w:sz w:val="24"/>
          <w:szCs w:val="24"/>
        </w:rPr>
        <w:t>The data collected within this registry will facilitate research to further our understanding of BHD, enable the development of therapies or a cure, and put patients at the centre of research.</w:t>
      </w:r>
    </w:p>
    <w:p w14:paraId="6A3017E6" w14:textId="304DF186" w:rsidR="00142535" w:rsidRDefault="00142535" w:rsidP="00142535">
      <w:pPr>
        <w:spacing w:after="0" w:line="240" w:lineRule="auto"/>
        <w:rPr>
          <w:rFonts w:ascii="Lato" w:hAnsi="Lato"/>
          <w:sz w:val="24"/>
          <w:szCs w:val="24"/>
        </w:rPr>
      </w:pPr>
    </w:p>
    <w:p w14:paraId="331F23E4" w14:textId="77777777" w:rsidR="00142535" w:rsidRPr="00142535" w:rsidRDefault="00142535" w:rsidP="00142535">
      <w:pPr>
        <w:spacing w:after="0" w:line="240" w:lineRule="auto"/>
        <w:rPr>
          <w:rFonts w:ascii="Lato" w:hAnsi="Lato"/>
          <w:sz w:val="24"/>
          <w:szCs w:val="24"/>
        </w:rPr>
      </w:pPr>
      <w:r w:rsidRPr="00142535">
        <w:rPr>
          <w:rFonts w:ascii="Lato" w:hAnsi="Lato"/>
          <w:sz w:val="24"/>
          <w:szCs w:val="24"/>
        </w:rPr>
        <w:t xml:space="preserve">Broadly, the BHD Syndrome International Registry aims to: </w:t>
      </w:r>
    </w:p>
    <w:p w14:paraId="4CB0B67F" w14:textId="59AB0F89" w:rsidR="00142535" w:rsidRPr="00142535" w:rsidRDefault="00142535" w:rsidP="00142535">
      <w:pPr>
        <w:pStyle w:val="ListParagraph"/>
        <w:numPr>
          <w:ilvl w:val="0"/>
          <w:numId w:val="3"/>
        </w:numPr>
        <w:spacing w:after="0" w:line="240" w:lineRule="auto"/>
        <w:ind w:hanging="218"/>
        <w:rPr>
          <w:rFonts w:ascii="Lato" w:hAnsi="Lato"/>
          <w:sz w:val="24"/>
          <w:szCs w:val="24"/>
        </w:rPr>
      </w:pPr>
      <w:r w:rsidRPr="00142535">
        <w:rPr>
          <w:rFonts w:ascii="Lato" w:hAnsi="Lato"/>
          <w:sz w:val="24"/>
          <w:szCs w:val="24"/>
        </w:rPr>
        <w:t>Determine the prevalence of BHD.</w:t>
      </w:r>
    </w:p>
    <w:p w14:paraId="325609B8" w14:textId="1AACBE7C" w:rsidR="00142535" w:rsidRPr="00142535" w:rsidRDefault="00142535" w:rsidP="00142535">
      <w:pPr>
        <w:pStyle w:val="ListParagraph"/>
        <w:numPr>
          <w:ilvl w:val="0"/>
          <w:numId w:val="3"/>
        </w:numPr>
        <w:spacing w:after="0" w:line="240" w:lineRule="auto"/>
        <w:ind w:hanging="218"/>
        <w:rPr>
          <w:rFonts w:ascii="Lato" w:hAnsi="Lato"/>
          <w:sz w:val="24"/>
          <w:szCs w:val="24"/>
        </w:rPr>
      </w:pPr>
      <w:r w:rsidRPr="00142535">
        <w:rPr>
          <w:rFonts w:ascii="Lato" w:hAnsi="Lato"/>
          <w:sz w:val="24"/>
          <w:szCs w:val="24"/>
        </w:rPr>
        <w:t>Determine if there are other manifestations associated with BHD (aside from those existing known in the skin, lung and kidney).</w:t>
      </w:r>
    </w:p>
    <w:p w14:paraId="29BF9AAE" w14:textId="799B32AC" w:rsidR="00142535" w:rsidRPr="00142535" w:rsidRDefault="00142535" w:rsidP="00142535">
      <w:pPr>
        <w:pStyle w:val="ListParagraph"/>
        <w:numPr>
          <w:ilvl w:val="0"/>
          <w:numId w:val="3"/>
        </w:numPr>
        <w:spacing w:after="0" w:line="240" w:lineRule="auto"/>
        <w:ind w:hanging="218"/>
        <w:rPr>
          <w:rFonts w:ascii="Lato" w:hAnsi="Lato"/>
          <w:sz w:val="24"/>
          <w:szCs w:val="24"/>
        </w:rPr>
      </w:pPr>
      <w:r w:rsidRPr="00142535">
        <w:rPr>
          <w:rFonts w:ascii="Lato" w:hAnsi="Lato"/>
          <w:sz w:val="24"/>
          <w:szCs w:val="24"/>
        </w:rPr>
        <w:t>Collect information on the type of kidney cancer most likely to develop in BHD.</w:t>
      </w:r>
    </w:p>
    <w:p w14:paraId="369DDFF3" w14:textId="51B52B76" w:rsidR="00142535" w:rsidRPr="00142535" w:rsidRDefault="00142535" w:rsidP="00142535">
      <w:pPr>
        <w:pStyle w:val="ListParagraph"/>
        <w:numPr>
          <w:ilvl w:val="0"/>
          <w:numId w:val="3"/>
        </w:numPr>
        <w:spacing w:after="0" w:line="240" w:lineRule="auto"/>
        <w:ind w:hanging="218"/>
        <w:rPr>
          <w:rFonts w:ascii="Lato" w:hAnsi="Lato"/>
          <w:sz w:val="24"/>
          <w:szCs w:val="24"/>
        </w:rPr>
      </w:pPr>
      <w:r w:rsidRPr="00142535">
        <w:rPr>
          <w:rFonts w:ascii="Lato" w:hAnsi="Lato"/>
          <w:sz w:val="24"/>
          <w:szCs w:val="24"/>
        </w:rPr>
        <w:t>Collect information on the ongoing management of your symptoms (e.g. kidney scan type and frequency).</w:t>
      </w:r>
    </w:p>
    <w:p w14:paraId="61A545D7" w14:textId="51C6BA07" w:rsidR="00142535" w:rsidRPr="00142535" w:rsidRDefault="00142535" w:rsidP="00142535">
      <w:pPr>
        <w:pStyle w:val="ListParagraph"/>
        <w:numPr>
          <w:ilvl w:val="0"/>
          <w:numId w:val="3"/>
        </w:numPr>
        <w:spacing w:after="0" w:line="240" w:lineRule="auto"/>
        <w:ind w:hanging="218"/>
        <w:rPr>
          <w:rFonts w:ascii="Lato" w:hAnsi="Lato"/>
          <w:sz w:val="24"/>
          <w:szCs w:val="24"/>
        </w:rPr>
      </w:pPr>
      <w:r w:rsidRPr="00142535">
        <w:rPr>
          <w:rFonts w:ascii="Lato" w:hAnsi="Lato"/>
          <w:sz w:val="24"/>
          <w:szCs w:val="24"/>
        </w:rPr>
        <w:t>Include information on genetic sequencing to determine if any particular variants are associated with particular manifestations.</w:t>
      </w:r>
    </w:p>
    <w:p w14:paraId="1C753DC5" w14:textId="3E48B2CC" w:rsidR="00142535" w:rsidRPr="00142535" w:rsidRDefault="00142535" w:rsidP="00142535">
      <w:pPr>
        <w:pStyle w:val="ListParagraph"/>
        <w:numPr>
          <w:ilvl w:val="0"/>
          <w:numId w:val="3"/>
        </w:numPr>
        <w:spacing w:after="0" w:line="240" w:lineRule="auto"/>
        <w:ind w:hanging="218"/>
        <w:rPr>
          <w:rFonts w:ascii="Lato" w:hAnsi="Lato"/>
          <w:sz w:val="24"/>
          <w:szCs w:val="24"/>
        </w:rPr>
      </w:pPr>
      <w:r w:rsidRPr="00142535">
        <w:rPr>
          <w:rFonts w:ascii="Lato" w:hAnsi="Lato"/>
          <w:sz w:val="24"/>
          <w:szCs w:val="24"/>
        </w:rPr>
        <w:t>Collect lifestyle information to understand if environmental factors influence the treatment or management of BHD.</w:t>
      </w:r>
    </w:p>
    <w:p w14:paraId="58CF8149" w14:textId="6C1334EC" w:rsidR="00142535" w:rsidRPr="00142535" w:rsidRDefault="00142535" w:rsidP="00142535">
      <w:pPr>
        <w:pStyle w:val="ListParagraph"/>
        <w:numPr>
          <w:ilvl w:val="0"/>
          <w:numId w:val="3"/>
        </w:numPr>
        <w:spacing w:after="0" w:line="240" w:lineRule="auto"/>
        <w:ind w:hanging="218"/>
        <w:rPr>
          <w:rFonts w:ascii="Lato" w:hAnsi="Lato"/>
          <w:sz w:val="24"/>
          <w:szCs w:val="24"/>
        </w:rPr>
      </w:pPr>
      <w:r w:rsidRPr="00142535">
        <w:rPr>
          <w:rFonts w:ascii="Lato" w:hAnsi="Lato"/>
          <w:sz w:val="24"/>
          <w:szCs w:val="24"/>
        </w:rPr>
        <w:t>Assess the quality of life of those living with BHD</w:t>
      </w:r>
    </w:p>
    <w:p w14:paraId="0F428000" w14:textId="085254E9" w:rsidR="00142535" w:rsidRPr="00142535" w:rsidRDefault="00142535" w:rsidP="00142535">
      <w:pPr>
        <w:pStyle w:val="ListParagraph"/>
        <w:numPr>
          <w:ilvl w:val="0"/>
          <w:numId w:val="3"/>
        </w:numPr>
        <w:spacing w:after="0" w:line="240" w:lineRule="auto"/>
        <w:ind w:hanging="218"/>
        <w:rPr>
          <w:rFonts w:ascii="Lato" w:hAnsi="Lato"/>
          <w:sz w:val="24"/>
          <w:szCs w:val="24"/>
        </w:rPr>
      </w:pPr>
      <w:r w:rsidRPr="00142535">
        <w:rPr>
          <w:rFonts w:ascii="Lato" w:hAnsi="Lato"/>
          <w:sz w:val="24"/>
          <w:szCs w:val="24"/>
        </w:rPr>
        <w:t>Use the registry as a database for clinical trials recruitment.</w:t>
      </w:r>
    </w:p>
    <w:p w14:paraId="4932625E" w14:textId="77777777" w:rsidR="00142535" w:rsidRDefault="00142535" w:rsidP="00142535">
      <w:pPr>
        <w:spacing w:after="0" w:line="240" w:lineRule="auto"/>
        <w:rPr>
          <w:rFonts w:ascii="Lato" w:hAnsi="Lato"/>
          <w:sz w:val="24"/>
          <w:szCs w:val="24"/>
        </w:rPr>
      </w:pPr>
    </w:p>
    <w:p w14:paraId="03460DD2" w14:textId="01A0742F" w:rsidR="00142535" w:rsidRDefault="00142535" w:rsidP="00142535">
      <w:pPr>
        <w:spacing w:after="0" w:line="240" w:lineRule="auto"/>
        <w:rPr>
          <w:rFonts w:ascii="Lato" w:hAnsi="Lato"/>
          <w:sz w:val="24"/>
          <w:szCs w:val="24"/>
        </w:rPr>
      </w:pPr>
      <w:r>
        <w:rPr>
          <w:rFonts w:ascii="Lato" w:hAnsi="Lato"/>
          <w:sz w:val="24"/>
          <w:szCs w:val="24"/>
        </w:rPr>
        <w:t xml:space="preserve">It is vital that as many people participate in the registry as possible. The more people in the registry, the more data there is for researchers to study. More data means there </w:t>
      </w:r>
      <w:r w:rsidR="006C5B08">
        <w:rPr>
          <w:rFonts w:ascii="Lato" w:hAnsi="Lato"/>
          <w:sz w:val="24"/>
          <w:szCs w:val="24"/>
        </w:rPr>
        <w:t>increased</w:t>
      </w:r>
      <w:r>
        <w:rPr>
          <w:rFonts w:ascii="Lato" w:hAnsi="Lato"/>
          <w:sz w:val="24"/>
          <w:szCs w:val="24"/>
        </w:rPr>
        <w:t xml:space="preserve"> confidence in the results of any research. In turn, this will support the aims of the registry and will ultimately lead to an improvement in the quality of life for those living with BHD.</w:t>
      </w:r>
    </w:p>
    <w:p w14:paraId="21994740" w14:textId="104F1E46" w:rsidR="00142535" w:rsidRDefault="00142535" w:rsidP="00142535">
      <w:pPr>
        <w:spacing w:after="0" w:line="240" w:lineRule="auto"/>
        <w:rPr>
          <w:rFonts w:ascii="Lato" w:hAnsi="Lato"/>
          <w:sz w:val="24"/>
          <w:szCs w:val="24"/>
        </w:rPr>
      </w:pPr>
    </w:p>
    <w:p w14:paraId="46490F00" w14:textId="1C1D41F3" w:rsidR="00142535" w:rsidRDefault="00142535" w:rsidP="00142535">
      <w:pPr>
        <w:spacing w:after="0" w:line="240" w:lineRule="auto"/>
        <w:rPr>
          <w:rFonts w:ascii="Lato" w:hAnsi="Lato"/>
          <w:sz w:val="24"/>
          <w:szCs w:val="24"/>
        </w:rPr>
      </w:pPr>
      <w:r>
        <w:rPr>
          <w:rFonts w:ascii="Lato" w:hAnsi="Lato"/>
          <w:sz w:val="24"/>
          <w:szCs w:val="24"/>
        </w:rPr>
        <w:t xml:space="preserve">To participate in the BHD Syndrome International Registry (BIRT) please register here: </w:t>
      </w:r>
      <w:r w:rsidR="005F5332">
        <w:rPr>
          <w:rFonts w:ascii="Lato" w:hAnsi="Lato"/>
          <w:sz w:val="24"/>
          <w:szCs w:val="24"/>
        </w:rPr>
        <w:t>birt</w:t>
      </w:r>
      <w:r w:rsidR="005F5332" w:rsidRPr="005F5332">
        <w:rPr>
          <w:rFonts w:ascii="Lato" w:hAnsi="Lato"/>
          <w:sz w:val="24"/>
          <w:szCs w:val="24"/>
        </w:rPr>
        <w:t>.healthie.net</w:t>
      </w:r>
    </w:p>
    <w:p w14:paraId="10D5F29B" w14:textId="60C4F94A" w:rsidR="00142535" w:rsidRDefault="00142535" w:rsidP="00142535">
      <w:pPr>
        <w:spacing w:after="0" w:line="240" w:lineRule="auto"/>
        <w:rPr>
          <w:rFonts w:ascii="Lato" w:hAnsi="Lato"/>
          <w:sz w:val="24"/>
          <w:szCs w:val="24"/>
        </w:rPr>
      </w:pPr>
    </w:p>
    <w:p w14:paraId="255D8F7C" w14:textId="5BFD8AA8" w:rsidR="00142535" w:rsidRPr="00512BD6" w:rsidRDefault="00142535" w:rsidP="00142535">
      <w:pPr>
        <w:spacing w:after="0" w:line="240" w:lineRule="auto"/>
        <w:rPr>
          <w:rFonts w:ascii="Lato" w:hAnsi="Lato"/>
          <w:sz w:val="24"/>
          <w:szCs w:val="24"/>
        </w:rPr>
      </w:pPr>
      <w:r w:rsidRPr="00512BD6">
        <w:rPr>
          <w:rFonts w:ascii="Lato" w:hAnsi="Lato"/>
          <w:sz w:val="24"/>
          <w:szCs w:val="24"/>
        </w:rPr>
        <w:t xml:space="preserve">If you would like to talk </w:t>
      </w:r>
      <w:r>
        <w:rPr>
          <w:rFonts w:ascii="Lato" w:hAnsi="Lato"/>
          <w:sz w:val="24"/>
          <w:szCs w:val="24"/>
        </w:rPr>
        <w:t>to</w:t>
      </w:r>
      <w:r w:rsidRPr="00512BD6">
        <w:rPr>
          <w:rFonts w:ascii="Lato" w:hAnsi="Lato"/>
          <w:sz w:val="24"/>
          <w:szCs w:val="24"/>
        </w:rPr>
        <w:t xml:space="preserve"> me about th</w:t>
      </w:r>
      <w:r>
        <w:rPr>
          <w:rFonts w:ascii="Lato" w:hAnsi="Lato"/>
          <w:sz w:val="24"/>
          <w:szCs w:val="24"/>
        </w:rPr>
        <w:t>e above</w:t>
      </w:r>
      <w:r w:rsidRPr="00512BD6">
        <w:rPr>
          <w:rFonts w:ascii="Lato" w:hAnsi="Lato"/>
          <w:sz w:val="24"/>
          <w:szCs w:val="24"/>
        </w:rPr>
        <w:t xml:space="preserve">, please do </w:t>
      </w:r>
      <w:r>
        <w:rPr>
          <w:rFonts w:ascii="Lato" w:hAnsi="Lato"/>
          <w:sz w:val="24"/>
          <w:szCs w:val="24"/>
        </w:rPr>
        <w:t xml:space="preserve">contact </w:t>
      </w:r>
      <w:r w:rsidRPr="00512BD6">
        <w:rPr>
          <w:rFonts w:ascii="Lato" w:hAnsi="Lato"/>
          <w:sz w:val="24"/>
          <w:szCs w:val="24"/>
        </w:rPr>
        <w:t xml:space="preserve">me on </w:t>
      </w:r>
      <w:r w:rsidRPr="00512BD6">
        <w:rPr>
          <w:rFonts w:ascii="Lato" w:hAnsi="Lato"/>
          <w:sz w:val="24"/>
          <w:szCs w:val="24"/>
          <w:highlight w:val="lightGray"/>
        </w:rPr>
        <w:t>--</w:t>
      </w:r>
      <w:r>
        <w:rPr>
          <w:rFonts w:ascii="Lato" w:hAnsi="Lato"/>
          <w:sz w:val="24"/>
          <w:szCs w:val="24"/>
          <w:highlight w:val="lightGray"/>
        </w:rPr>
        <w:t>--</w:t>
      </w:r>
      <w:r w:rsidRPr="00512BD6">
        <w:rPr>
          <w:rFonts w:ascii="Lato" w:hAnsi="Lato"/>
          <w:sz w:val="24"/>
          <w:szCs w:val="24"/>
          <w:highlight w:val="lightGray"/>
        </w:rPr>
        <w:t>--</w:t>
      </w:r>
      <w:r w:rsidRPr="00512BD6">
        <w:rPr>
          <w:rFonts w:ascii="Lato" w:hAnsi="Lato"/>
          <w:sz w:val="24"/>
          <w:szCs w:val="24"/>
        </w:rPr>
        <w:t xml:space="preserve"> or email me at </w:t>
      </w:r>
      <w:r>
        <w:rPr>
          <w:rFonts w:ascii="Lato" w:hAnsi="Lato"/>
          <w:sz w:val="24"/>
          <w:szCs w:val="24"/>
        </w:rPr>
        <w:t xml:space="preserve">  </w:t>
      </w:r>
      <w:r w:rsidRPr="00512BD6">
        <w:rPr>
          <w:rFonts w:ascii="Lato" w:hAnsi="Lato"/>
          <w:sz w:val="24"/>
          <w:szCs w:val="24"/>
          <w:highlight w:val="lightGray"/>
        </w:rPr>
        <w:t>-</w:t>
      </w:r>
      <w:r>
        <w:rPr>
          <w:rFonts w:ascii="Lato" w:hAnsi="Lato"/>
          <w:sz w:val="24"/>
          <w:szCs w:val="24"/>
          <w:highlight w:val="lightGray"/>
        </w:rPr>
        <w:t>--</w:t>
      </w:r>
      <w:r w:rsidRPr="00512BD6">
        <w:rPr>
          <w:rFonts w:ascii="Lato" w:hAnsi="Lato"/>
          <w:sz w:val="24"/>
          <w:szCs w:val="24"/>
          <w:highlight w:val="lightGray"/>
        </w:rPr>
        <w:t>---</w:t>
      </w:r>
      <w:r w:rsidRPr="00512BD6">
        <w:rPr>
          <w:rFonts w:ascii="Lato" w:hAnsi="Lato"/>
          <w:sz w:val="24"/>
          <w:szCs w:val="24"/>
        </w:rPr>
        <w:t>.</w:t>
      </w:r>
      <w:r>
        <w:rPr>
          <w:rFonts w:ascii="Lato" w:hAnsi="Lato"/>
          <w:sz w:val="24"/>
          <w:szCs w:val="24"/>
        </w:rPr>
        <w:t xml:space="preserve"> You can also contact the team at the Myrovlytis Trust with any questions via email: contact@myrovlytistrust.org</w:t>
      </w:r>
    </w:p>
    <w:p w14:paraId="15669CE0" w14:textId="77777777" w:rsidR="00142535" w:rsidRDefault="00142535" w:rsidP="00142535">
      <w:pPr>
        <w:spacing w:after="0" w:line="240" w:lineRule="auto"/>
        <w:rPr>
          <w:rFonts w:ascii="Lato" w:hAnsi="Lato"/>
          <w:sz w:val="24"/>
          <w:szCs w:val="24"/>
        </w:rPr>
      </w:pPr>
    </w:p>
    <w:p w14:paraId="11565BD2" w14:textId="0AB5B0E8" w:rsidR="00142535" w:rsidRPr="00512BD6" w:rsidRDefault="00142535" w:rsidP="00142535">
      <w:pPr>
        <w:spacing w:after="0" w:line="240" w:lineRule="auto"/>
        <w:rPr>
          <w:rFonts w:ascii="Lato" w:hAnsi="Lato"/>
          <w:sz w:val="24"/>
          <w:szCs w:val="24"/>
        </w:rPr>
      </w:pPr>
      <w:r w:rsidRPr="00512BD6">
        <w:rPr>
          <w:rFonts w:ascii="Lato" w:hAnsi="Lato"/>
          <w:sz w:val="24"/>
          <w:szCs w:val="24"/>
        </w:rPr>
        <w:t>Best wishes</w:t>
      </w:r>
    </w:p>
    <w:p w14:paraId="390D3D9D" w14:textId="77777777" w:rsidR="00142535" w:rsidRPr="00512BD6" w:rsidRDefault="00142535" w:rsidP="00142535">
      <w:pPr>
        <w:spacing w:after="0" w:line="240" w:lineRule="auto"/>
        <w:rPr>
          <w:rFonts w:ascii="Lato" w:hAnsi="Lato"/>
          <w:sz w:val="24"/>
          <w:szCs w:val="24"/>
        </w:rPr>
      </w:pPr>
      <w:r w:rsidRPr="00512BD6">
        <w:rPr>
          <w:rFonts w:ascii="Lato" w:hAnsi="Lato"/>
          <w:sz w:val="24"/>
          <w:szCs w:val="24"/>
          <w:highlight w:val="lightGray"/>
        </w:rPr>
        <w:t>------</w:t>
      </w:r>
    </w:p>
    <w:p w14:paraId="09A8A20D" w14:textId="77777777" w:rsidR="00142535" w:rsidRPr="00142535" w:rsidRDefault="00142535" w:rsidP="00142535">
      <w:pPr>
        <w:spacing w:after="0" w:line="240" w:lineRule="auto"/>
        <w:rPr>
          <w:rFonts w:ascii="Lato" w:hAnsi="Lato"/>
          <w:sz w:val="24"/>
          <w:szCs w:val="24"/>
        </w:rPr>
      </w:pPr>
    </w:p>
    <w:sectPr w:rsidR="00142535" w:rsidRPr="00142535" w:rsidSect="00142535">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005"/>
    <w:multiLevelType w:val="hybridMultilevel"/>
    <w:tmpl w:val="09289C84"/>
    <w:lvl w:ilvl="0" w:tplc="0E74DB70">
      <w:numFmt w:val="bullet"/>
      <w:lvlText w:val="•"/>
      <w:lvlJc w:val="left"/>
      <w:pPr>
        <w:ind w:left="218" w:hanging="360"/>
      </w:pPr>
      <w:rPr>
        <w:rFonts w:ascii="Lato" w:eastAsiaTheme="minorHAnsi" w:hAnsi="Lato" w:cstheme="minorBid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 w15:restartNumberingAfterBreak="0">
    <w:nsid w:val="24980FAC"/>
    <w:multiLevelType w:val="hybridMultilevel"/>
    <w:tmpl w:val="FC362DB8"/>
    <w:lvl w:ilvl="0" w:tplc="0E74DB70">
      <w:numFmt w:val="bullet"/>
      <w:lvlText w:val="•"/>
      <w:lvlJc w:val="left"/>
      <w:pPr>
        <w:ind w:left="218"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42C14"/>
    <w:multiLevelType w:val="hybridMultilevel"/>
    <w:tmpl w:val="70AA90F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xNDI0MLKwMDG2NDJV0lEKTi0uzszPAykwqgUAbyQxDSwAAAA="/>
  </w:docVars>
  <w:rsids>
    <w:rsidRoot w:val="00142535"/>
    <w:rsid w:val="00004EF5"/>
    <w:rsid w:val="000A1CB9"/>
    <w:rsid w:val="00142535"/>
    <w:rsid w:val="00160E65"/>
    <w:rsid w:val="0038614F"/>
    <w:rsid w:val="003E0E65"/>
    <w:rsid w:val="005F5332"/>
    <w:rsid w:val="006C5B08"/>
    <w:rsid w:val="00D8132C"/>
    <w:rsid w:val="00E13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9528"/>
  <w15:chartTrackingRefBased/>
  <w15:docId w15:val="{72B2B0CD-9285-46E6-8BD6-958CB7C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535"/>
    <w:pPr>
      <w:spacing w:after="200" w:line="276" w:lineRule="auto"/>
    </w:pPr>
    <w:rPr>
      <w:rFonts w:asciiTheme="minorHAnsi" w:hAnsi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535"/>
    <w:pPr>
      <w:ind w:left="720"/>
      <w:contextualSpacing/>
    </w:pPr>
  </w:style>
  <w:style w:type="paragraph" w:styleId="Revision">
    <w:name w:val="Revision"/>
    <w:hidden/>
    <w:uiPriority w:val="99"/>
    <w:semiHidden/>
    <w:rsid w:val="006C5B08"/>
    <w:pPr>
      <w:spacing w:after="0" w:line="240" w:lineRule="auto"/>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9e7e3f-ba58-4d31-bae3-e5accdebcf4d">
      <Terms xmlns="http://schemas.microsoft.com/office/infopath/2007/PartnerControls"/>
    </lcf76f155ced4ddcb4097134ff3c332f>
    <TaxCatchAll xmlns="d3af6279-91f2-4b99-b340-d8ac0c5338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556CD1FA0D14891316992FC4FEA4A" ma:contentTypeVersion="16" ma:contentTypeDescription="Create a new document." ma:contentTypeScope="" ma:versionID="e475818c6e5567cce001808642881e39">
  <xsd:schema xmlns:xsd="http://www.w3.org/2001/XMLSchema" xmlns:xs="http://www.w3.org/2001/XMLSchema" xmlns:p="http://schemas.microsoft.com/office/2006/metadata/properties" xmlns:ns2="369e7e3f-ba58-4d31-bae3-e5accdebcf4d" xmlns:ns3="d3af6279-91f2-4b99-b340-d8ac0c53388c" targetNamespace="http://schemas.microsoft.com/office/2006/metadata/properties" ma:root="true" ma:fieldsID="9c06bcff8b4ca0638eb3ca82279c5066" ns2:_="" ns3:_="">
    <xsd:import namespace="369e7e3f-ba58-4d31-bae3-e5accdebcf4d"/>
    <xsd:import namespace="d3af6279-91f2-4b99-b340-d8ac0c533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7e3f-ba58-4d31-bae3-e5accdebc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7d3f41-af17-4479-b6d3-e37ac7e384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f6279-91f2-4b99-b340-d8ac0c5338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b860b9a-4e7e-4723-91d3-fb24c704432d}" ma:internalName="TaxCatchAll" ma:showField="CatchAllData" ma:web="d3af6279-91f2-4b99-b340-d8ac0c533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887B7-0032-4906-890B-50F27F7D0E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E8D79-61FE-417C-944A-90A4F19918EB}">
  <ds:schemaRefs>
    <ds:schemaRef ds:uri="http://schemas.microsoft.com/sharepoint/v3/contenttype/forms"/>
  </ds:schemaRefs>
</ds:datastoreItem>
</file>

<file path=customXml/itemProps3.xml><?xml version="1.0" encoding="utf-8"?>
<ds:datastoreItem xmlns:ds="http://schemas.openxmlformats.org/officeDocument/2006/customXml" ds:itemID="{68F9BE5A-A0D6-404A-B338-A1126BDCD0EF}"/>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Nightingale</dc:creator>
  <cp:keywords/>
  <dc:description/>
  <cp:lastModifiedBy>Katie Nightingale</cp:lastModifiedBy>
  <cp:revision>3</cp:revision>
  <dcterms:created xsi:type="dcterms:W3CDTF">2022-02-22T16:48:00Z</dcterms:created>
  <dcterms:modified xsi:type="dcterms:W3CDTF">2022-03-01T16:15:00Z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0x01010072B556CD1FA0D14891316992FC4FEA4A</vt:lpwstr>
  </property>
</Properties>
</file>